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>05-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327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2806/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ПОСТАНОВЛЕНИЕ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79"/>
        <w:gridCol w:w="4797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27 апреля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Исполняющий обязанности мирового судьи судебного участка № 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судебного участка №2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открытом судебном заседании дело об административном правонарушении, возбужденное по ч.1 ст.15.33.2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исполнительного директора Региональной общественной организации «Федерация бокса Ханты-Мансийского автономного округа – Югры» </w:t>
      </w:r>
      <w:r>
        <w:rPr>
          <w:rStyle w:val="cat-FIOgrp-16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Магеррамали 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1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2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3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2rplc-1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3rplc-1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3rplc-1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30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32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2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>: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Style w:val="cat-FIOgrp-17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>исполнительным директором Региональной общественной организации «Федерация бокса Ханты-Мансий</w:t>
      </w:r>
      <w:r>
        <w:rPr>
          <w:rFonts w:ascii="Times New Roman" w:eastAsia="Times New Roman" w:hAnsi="Times New Roman" w:cs="Times New Roman"/>
          <w:sz w:val="26"/>
          <w:szCs w:val="26"/>
        </w:rPr>
        <w:t>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, и, исполняя свои обязанности по адресу места регистрации юридического лица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срок до 24 час. 00 мин. </w:t>
      </w:r>
      <w:r>
        <w:rPr>
          <w:rFonts w:ascii="Times New Roman" w:eastAsia="Times New Roman" w:hAnsi="Times New Roman" w:cs="Times New Roman"/>
          <w:sz w:val="26"/>
          <w:szCs w:val="26"/>
        </w:rPr>
        <w:t>24</w:t>
      </w:r>
      <w:r>
        <w:rPr>
          <w:rFonts w:ascii="Times New Roman" w:eastAsia="Times New Roman" w:hAnsi="Times New Roman" w:cs="Times New Roman"/>
          <w:sz w:val="26"/>
          <w:szCs w:val="26"/>
        </w:rPr>
        <w:t>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нарушение пп.5 п.2 и п.6 ст.11 Федерального закона от 01.04.1996 г. №27-ФЗ «Об индивидуальном (персонифицированном) учете в системе обязательного пенсионного страхования и обязательного социального страхования» (далее - Федеральный закон от 0</w:t>
      </w:r>
      <w:r>
        <w:rPr>
          <w:rFonts w:ascii="Times New Roman" w:eastAsia="Times New Roman" w:hAnsi="Times New Roman" w:cs="Times New Roman"/>
          <w:sz w:val="26"/>
          <w:szCs w:val="26"/>
        </w:rPr>
        <w:t>1.04.1996 №27-ФЗ) 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Отделение Фонда пенсионного и социального страхования РФ по ХМАО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2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сведения о </w:t>
      </w:r>
      <w:r>
        <w:rPr>
          <w:rFonts w:ascii="Times New Roman" w:eastAsia="Times New Roman" w:hAnsi="Times New Roman" w:cs="Times New Roman"/>
          <w:sz w:val="26"/>
          <w:szCs w:val="26"/>
        </w:rPr>
        <w:t>заключенном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22.02.2026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Style w:val="cat-FIOgrp-18rplc-2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договоре гражданско-правового характера, чем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>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 час. 01 мин. 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правонарушение, предусмотренное ч.1 ст.15.33.2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</w:t>
      </w:r>
      <w:r>
        <w:rPr>
          <w:rStyle w:val="cat-FIOgrp-17rplc-2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о. </w:t>
      </w:r>
      <w:r>
        <w:rPr>
          <w:rFonts w:ascii="Times New Roman" w:eastAsia="Times New Roman" w:hAnsi="Times New Roman" w:cs="Times New Roman"/>
          <w:sz w:val="26"/>
          <w:szCs w:val="26"/>
        </w:rPr>
        <w:t>не присутствовал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О дате, времени и </w:t>
      </w:r>
      <w:r>
        <w:rPr>
          <w:rFonts w:ascii="Times New Roman" w:eastAsia="Times New Roman" w:hAnsi="Times New Roman" w:cs="Times New Roman"/>
          <w:sz w:val="26"/>
          <w:szCs w:val="26"/>
        </w:rPr>
        <w:t>месте рассмотрения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телефонограммой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положениями ч.2 ст.25.1 и п.4 ч.1 ст.29.7 КоАП РФ дело рассмотрено в отсутствие привлекаемого лица.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Ответственность по ч.1 ст.15.33.2 КоАП РФ наступает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п.2.2 ст.11 Федерального закона от 01.04.1996 №27-ФЗ страхователи, к числу которых относятся </w:t>
      </w:r>
      <w:r>
        <w:rPr>
          <w:rFonts w:ascii="Times New Roman" w:eastAsia="Times New Roman" w:hAnsi="Times New Roman" w:cs="Times New Roman"/>
          <w:sz w:val="26"/>
          <w:szCs w:val="26"/>
        </w:rPr>
        <w:t>организации,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индивидуальные предприниматели представляют не позднее 15-го числа календарного месяца, следующего за отчетным периодом, в территориальный отдел Пенсионного фонда РФ сведения, предусмотренные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указанным федеральным законом, о каждом работающем (работавшем) у данного страхователя застрахованном лице.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пп.5 п.2 и п.6 ст.11 Федерального закона от 01.04.1996 № 27-ФЗ страхователь обязан в установленный срок представлять органам Пенсионного фонда Российской Федерации следующие сведения: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договорам, сведения, предусмотренные ч.4 ст.9 Федерального закона «О дополнительных страховых взносах на накопительную пенсию и государственной поддержке формирования пенсионных накоплений».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п.6 ст.11 Федерального закона от 01.04.1996 №27-ФЗ форма ЕФС – 1, раздел 1, подраздел 1.1 представляется страхователем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вышеуказанных норм, </w:t>
      </w:r>
      <w:r>
        <w:rPr>
          <w:rStyle w:val="cat-FIOgrp-17rplc-3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установленные ср</w:t>
      </w:r>
      <w:r>
        <w:rPr>
          <w:rFonts w:ascii="Times New Roman" w:eastAsia="Times New Roman" w:hAnsi="Times New Roman" w:cs="Times New Roman"/>
          <w:sz w:val="26"/>
          <w:szCs w:val="26"/>
        </w:rPr>
        <w:t>оки не предоставил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отчет по форме ЕФС-1, раздел 1, подраздел 1.1. Данный отчет был представлен страхователем по телекоммуникационным каналам связи 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>.03.2026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Фактические обстоятельства дела и виновность </w:t>
      </w:r>
      <w:r>
        <w:rPr>
          <w:rStyle w:val="cat-FIOgrp-19rplc-3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 подтверждаются исследованными судом: протоколом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>копией выписки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 Единого государственного реестра юридических лиц; </w:t>
      </w:r>
      <w:r>
        <w:rPr>
          <w:rFonts w:ascii="Times New Roman" w:eastAsia="Times New Roman" w:hAnsi="Times New Roman" w:cs="Times New Roman"/>
          <w:sz w:val="26"/>
          <w:szCs w:val="26"/>
        </w:rPr>
        <w:t>копией акта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выявлении правонарушения; </w:t>
      </w:r>
      <w:r>
        <w:rPr>
          <w:rFonts w:ascii="Times New Roman" w:eastAsia="Times New Roman" w:hAnsi="Times New Roman" w:cs="Times New Roman"/>
          <w:sz w:val="26"/>
          <w:szCs w:val="26"/>
        </w:rPr>
        <w:t>копией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отчета по форме </w:t>
      </w:r>
      <w:r>
        <w:rPr>
          <w:rFonts w:ascii="Times New Roman" w:eastAsia="Times New Roman" w:hAnsi="Times New Roman" w:cs="Times New Roman"/>
          <w:sz w:val="26"/>
          <w:szCs w:val="26"/>
        </w:rPr>
        <w:t>ЕФС - 1</w:t>
      </w:r>
      <w:r>
        <w:rPr>
          <w:rFonts w:ascii="Times New Roman" w:eastAsia="Times New Roman" w:hAnsi="Times New Roman" w:cs="Times New Roman"/>
          <w:sz w:val="26"/>
          <w:szCs w:val="26"/>
        </w:rPr>
        <w:t>, поступившим в ОСФР по ХМАО-Югре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Style w:val="cat-FIOgrp-19rplc-3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не</w:t>
      </w:r>
      <w:r>
        <w:rPr>
          <w:rFonts w:ascii="Times New Roman" w:eastAsia="Times New Roman" w:hAnsi="Times New Roman" w:cs="Times New Roman"/>
          <w:sz w:val="26"/>
          <w:szCs w:val="26"/>
        </w:rPr>
        <w:t>своевременном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предоставлени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отчета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форме </w:t>
      </w:r>
      <w:r>
        <w:rPr>
          <w:rFonts w:ascii="Times New Roman" w:eastAsia="Times New Roman" w:hAnsi="Times New Roman" w:cs="Times New Roman"/>
          <w:sz w:val="26"/>
          <w:szCs w:val="26"/>
        </w:rPr>
        <w:t>ЕФС - 1</w:t>
      </w:r>
      <w:r>
        <w:rPr>
          <w:rFonts w:ascii="Times New Roman" w:eastAsia="Times New Roman" w:hAnsi="Times New Roman" w:cs="Times New Roman"/>
          <w:sz w:val="26"/>
          <w:szCs w:val="26"/>
        </w:rPr>
        <w:t>, нашла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свое подтверждение.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FIOgrp-17rplc-3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о.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</w:t>
      </w:r>
      <w:r>
        <w:rPr>
          <w:rFonts w:ascii="Times New Roman" w:eastAsia="Times New Roman" w:hAnsi="Times New Roman" w:cs="Times New Roman"/>
          <w:sz w:val="26"/>
          <w:szCs w:val="26"/>
        </w:rPr>
        <w:t>т по ч.1 ст.</w:t>
      </w:r>
      <w:r>
        <w:rPr>
          <w:rFonts w:ascii="Times New Roman" w:eastAsia="Times New Roman" w:hAnsi="Times New Roman" w:cs="Times New Roman"/>
          <w:sz w:val="26"/>
          <w:szCs w:val="26"/>
        </w:rPr>
        <w:t>15.33.2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Учитывая, обстоятельства дела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считает возможным назначить </w:t>
      </w:r>
      <w:r>
        <w:rPr>
          <w:rStyle w:val="cat-FIOgrp-17rplc-3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о. </w:t>
      </w:r>
      <w:r>
        <w:rPr>
          <w:rFonts w:ascii="Times New Roman" w:eastAsia="Times New Roman" w:hAnsi="Times New Roman" w:cs="Times New Roman"/>
          <w:sz w:val="26"/>
          <w:szCs w:val="26"/>
        </w:rPr>
        <w:t>минимальный размер штрафа, предусмотренный ч.1 ст.15.33.2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szCs w:val="26"/>
        </w:rPr>
        <w:t>изложенного, руководствуясь ст.</w:t>
      </w:r>
      <w:r>
        <w:rPr>
          <w:rFonts w:ascii="Times New Roman" w:eastAsia="Times New Roman" w:hAnsi="Times New Roman" w:cs="Times New Roman"/>
          <w:sz w:val="26"/>
          <w:szCs w:val="26"/>
        </w:rPr>
        <w:t>ст. 23.1, 29.5, 29.6, 29.10 КоАП РФ, мировой судья,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: </w:t>
      </w:r>
    </w:p>
    <w:p>
      <w:pPr>
        <w:spacing w:before="0" w:after="0"/>
        <w:ind w:firstLine="72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привлечь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исполнительного директора Региональной общественной организации «Федерация бокса Ханты-Мансийского автономного округа – Югры» </w:t>
      </w:r>
      <w:r>
        <w:rPr>
          <w:rStyle w:val="cat-FIOgrp-16rplc-3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Магеррамали оглы </w:t>
      </w:r>
      <w:r>
        <w:rPr>
          <w:rFonts w:ascii="Times New Roman" w:eastAsia="Times New Roman" w:hAnsi="Times New Roman" w:cs="Times New Roman"/>
          <w:sz w:val="26"/>
          <w:szCs w:val="26"/>
        </w:rPr>
        <w:t>к административной ответственности за совершение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 ст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15.33.2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административное наказание в виде административного штрафа в размере </w:t>
      </w:r>
      <w:r>
        <w:rPr>
          <w:rStyle w:val="cat-Sumgrp-21rplc-39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Получатель: УФК по Ханты-Мансийскому автономному округу-Югре (ОСФР по ХМАО-Югре, л/с 04874Ф87010) Банк получателя: РКЦ Ханты-Мансийск/УФК по </w:t>
      </w:r>
      <w:r>
        <w:rPr>
          <w:rStyle w:val="cat-Addressgrp-5rplc-40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ИНН получателя: 8601002078 КПП получателя: 860101001 ОКТМО 71871000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БИК ТОФК-007162163 КБК 79711601230060000140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Счет получателя платежа (номер казначейского счета) 03100643000000018700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Кор/счет 40102810245370000007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КБК – 79711601230060000140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УИН 79702700000000</w:t>
      </w:r>
      <w:r>
        <w:rPr>
          <w:rFonts w:ascii="Times New Roman" w:eastAsia="Times New Roman" w:hAnsi="Times New Roman" w:cs="Times New Roman"/>
          <w:sz w:val="26"/>
          <w:szCs w:val="26"/>
        </w:rPr>
        <w:t>404208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1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6rplc-4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каб. 115.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Style w:val="cat-Addressgrp-1rplc-4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20rplc-47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0rplc-48"/>
          <w:rFonts w:ascii="Times New Roman" w:eastAsia="Times New Roman" w:hAnsi="Times New Roman" w:cs="Times New Roman"/>
          <w:sz w:val="26"/>
          <w:szCs w:val="26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FIOgrp-16rplc-6">
    <w:name w:val="cat-FIO grp-16 rplc-6"/>
    <w:basedOn w:val="DefaultParagraphFont"/>
  </w:style>
  <w:style w:type="character" w:customStyle="1" w:styleId="cat-ExternalSystemDefinedgrp-31rplc-8">
    <w:name w:val="cat-ExternalSystemDefined grp-31 rplc-8"/>
    <w:basedOn w:val="DefaultParagraphFont"/>
  </w:style>
  <w:style w:type="character" w:customStyle="1" w:styleId="cat-PassportDatagrp-22rplc-9">
    <w:name w:val="cat-PassportData grp-22 rplc-9"/>
    <w:basedOn w:val="DefaultParagraphFont"/>
  </w:style>
  <w:style w:type="character" w:customStyle="1" w:styleId="cat-UserDefinedgrp-33rplc-10">
    <w:name w:val="cat-UserDefined grp-33 rplc-10"/>
    <w:basedOn w:val="DefaultParagraphFont"/>
  </w:style>
  <w:style w:type="character" w:customStyle="1" w:styleId="cat-Addressgrp-2rplc-11">
    <w:name w:val="cat-Address grp-2 rplc-11"/>
    <w:basedOn w:val="DefaultParagraphFont"/>
  </w:style>
  <w:style w:type="character" w:customStyle="1" w:styleId="cat-Addressgrp-3rplc-12">
    <w:name w:val="cat-Address grp-3 rplc-12"/>
    <w:basedOn w:val="DefaultParagraphFont"/>
  </w:style>
  <w:style w:type="character" w:customStyle="1" w:styleId="cat-PassportDatagrp-23rplc-13">
    <w:name w:val="cat-PassportData grp-23 rplc-13"/>
    <w:basedOn w:val="DefaultParagraphFont"/>
  </w:style>
  <w:style w:type="character" w:customStyle="1" w:styleId="cat-ExternalSystemDefinedgrp-30rplc-14">
    <w:name w:val="cat-ExternalSystemDefined grp-30 rplc-14"/>
    <w:basedOn w:val="DefaultParagraphFont"/>
  </w:style>
  <w:style w:type="character" w:customStyle="1" w:styleId="cat-ExternalSystemDefinedgrp-32rplc-15">
    <w:name w:val="cat-ExternalSystemDefined grp-32 rplc-15"/>
    <w:basedOn w:val="DefaultParagraphFont"/>
  </w:style>
  <w:style w:type="character" w:customStyle="1" w:styleId="cat-FIOgrp-17rplc-16">
    <w:name w:val="cat-FIO grp-17 rplc-16"/>
    <w:basedOn w:val="DefaultParagraphFont"/>
  </w:style>
  <w:style w:type="character" w:customStyle="1" w:styleId="cat-Addressgrp-4rplc-22">
    <w:name w:val="cat-Address grp-4 rplc-22"/>
    <w:basedOn w:val="DefaultParagraphFont"/>
  </w:style>
  <w:style w:type="character" w:customStyle="1" w:styleId="cat-FIOgrp-18rplc-24">
    <w:name w:val="cat-FIO grp-18 rplc-24"/>
    <w:basedOn w:val="DefaultParagraphFont"/>
  </w:style>
  <w:style w:type="character" w:customStyle="1" w:styleId="cat-FIOgrp-17rplc-27">
    <w:name w:val="cat-FIO grp-17 rplc-27"/>
    <w:basedOn w:val="DefaultParagraphFont"/>
  </w:style>
  <w:style w:type="character" w:customStyle="1" w:styleId="cat-FIOgrp-17rplc-31">
    <w:name w:val="cat-FIO grp-17 rplc-31"/>
    <w:basedOn w:val="DefaultParagraphFont"/>
  </w:style>
  <w:style w:type="character" w:customStyle="1" w:styleId="cat-FIOgrp-19rplc-33">
    <w:name w:val="cat-FIO grp-19 rplc-33"/>
    <w:basedOn w:val="DefaultParagraphFont"/>
  </w:style>
  <w:style w:type="character" w:customStyle="1" w:styleId="cat-FIOgrp-19rplc-34">
    <w:name w:val="cat-FIO grp-19 rplc-34"/>
    <w:basedOn w:val="DefaultParagraphFont"/>
  </w:style>
  <w:style w:type="character" w:customStyle="1" w:styleId="cat-FIOgrp-17rplc-35">
    <w:name w:val="cat-FIO grp-17 rplc-35"/>
    <w:basedOn w:val="DefaultParagraphFont"/>
  </w:style>
  <w:style w:type="character" w:customStyle="1" w:styleId="cat-FIOgrp-17rplc-36">
    <w:name w:val="cat-FIO grp-17 rplc-36"/>
    <w:basedOn w:val="DefaultParagraphFont"/>
  </w:style>
  <w:style w:type="character" w:customStyle="1" w:styleId="cat-FIOgrp-16rplc-38">
    <w:name w:val="cat-FIO grp-16 rplc-38"/>
    <w:basedOn w:val="DefaultParagraphFont"/>
  </w:style>
  <w:style w:type="character" w:customStyle="1" w:styleId="cat-Sumgrp-21rplc-39">
    <w:name w:val="cat-Sum grp-21 rplc-39"/>
    <w:basedOn w:val="DefaultParagraphFont"/>
  </w:style>
  <w:style w:type="character" w:customStyle="1" w:styleId="cat-Addressgrp-5rplc-40">
    <w:name w:val="cat-Address grp-5 rplc-40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Addressgrp-6rplc-45">
    <w:name w:val="cat-Address grp-6 rplc-45"/>
    <w:basedOn w:val="DefaultParagraphFont"/>
  </w:style>
  <w:style w:type="character" w:customStyle="1" w:styleId="cat-Addressgrp-1rplc-46">
    <w:name w:val="cat-Address grp-1 rplc-46"/>
    <w:basedOn w:val="DefaultParagraphFont"/>
  </w:style>
  <w:style w:type="character" w:customStyle="1" w:styleId="cat-FIOgrp-20rplc-47">
    <w:name w:val="cat-FIO grp-20 rplc-47"/>
    <w:basedOn w:val="DefaultParagraphFont"/>
  </w:style>
  <w:style w:type="character" w:customStyle="1" w:styleId="cat-FIOgrp-20rplc-48">
    <w:name w:val="cat-FIO grp-20 rplc-4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